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47" w:rsidRDefault="009E17C9"/>
    <w:p w:rsidR="009E17C9" w:rsidRDefault="009E17C9" w:rsidP="009E17C9">
      <w:pPr>
        <w:jc w:val="center"/>
        <w:rPr>
          <w:b/>
        </w:rPr>
      </w:pPr>
      <w:r w:rsidRPr="009E17C9">
        <w:rPr>
          <w:b/>
        </w:rPr>
        <w:t>Action Steps for Sustainability Partnerships</w:t>
      </w:r>
    </w:p>
    <w:p w:rsidR="009E17C9" w:rsidRDefault="009E17C9" w:rsidP="009E17C9">
      <w:pPr>
        <w:jc w:val="center"/>
        <w:rPr>
          <w:b/>
        </w:rPr>
      </w:pPr>
    </w:p>
    <w:p w:rsidR="009E17C9" w:rsidRDefault="009E17C9" w:rsidP="009E17C9">
      <w:pPr>
        <w:rPr>
          <w:b/>
        </w:rPr>
      </w:pPr>
    </w:p>
    <w:p w:rsidR="009E17C9" w:rsidRDefault="009E17C9" w:rsidP="009E17C9">
      <w:pPr>
        <w:rPr>
          <w:b/>
        </w:rPr>
      </w:pPr>
      <w:r>
        <w:rPr>
          <w:b/>
        </w:rPr>
        <w:t xml:space="preserve">Action Steps for Sustainability Partnerships </w:t>
      </w:r>
    </w:p>
    <w:p w:rsidR="009E17C9" w:rsidRDefault="009E17C9" w:rsidP="009E17C9">
      <w:pPr>
        <w:rPr>
          <w:b/>
        </w:rPr>
      </w:pPr>
    </w:p>
    <w:p w:rsidR="009E17C9" w:rsidRDefault="009E17C9" w:rsidP="009E17C9">
      <w:pPr>
        <w:rPr>
          <w:b/>
        </w:rPr>
      </w:pPr>
    </w:p>
    <w:tbl>
      <w:tblPr>
        <w:tblW w:w="0" w:type="auto"/>
        <w:tblInd w:w="382" w:type="dxa"/>
        <w:tblBorders>
          <w:top w:val="single" w:sz="2" w:space="0" w:color="010202"/>
          <w:left w:val="single" w:sz="2" w:space="0" w:color="010202"/>
          <w:bottom w:val="single" w:sz="2" w:space="0" w:color="010202"/>
          <w:right w:val="single" w:sz="2" w:space="0" w:color="010202"/>
          <w:insideH w:val="single" w:sz="2" w:space="0" w:color="010202"/>
          <w:insideV w:val="single" w:sz="2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0"/>
        <w:gridCol w:w="1368"/>
        <w:gridCol w:w="1368"/>
      </w:tblGrid>
      <w:tr w:rsidR="009E17C9" w:rsidTr="003D5B25">
        <w:trPr>
          <w:trHeight w:val="675"/>
        </w:trPr>
        <w:tc>
          <w:tcPr>
            <w:tcW w:w="5480" w:type="dxa"/>
          </w:tcPr>
          <w:p w:rsidR="009E17C9" w:rsidRDefault="009E17C9" w:rsidP="003D5B25">
            <w:pPr>
              <w:pStyle w:val="TableParagraph"/>
              <w:spacing w:before="10"/>
              <w:rPr>
                <w:sz w:val="32"/>
              </w:rPr>
            </w:pPr>
          </w:p>
          <w:p w:rsidR="009E17C9" w:rsidRDefault="009E17C9" w:rsidP="003D5B25">
            <w:pPr>
              <w:pStyle w:val="TableParagraph"/>
              <w:ind w:left="2197" w:right="21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Action Steps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spacing w:before="138" w:line="278" w:lineRule="auto"/>
              <w:ind w:left="373" w:right="168" w:hanging="185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 xml:space="preserve">Evidence and </w:t>
            </w:r>
            <w:r>
              <w:rPr>
                <w:b/>
                <w:color w:val="231F20"/>
                <w:w w:val="95"/>
                <w:sz w:val="18"/>
              </w:rPr>
              <w:t>Artifacts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spacing w:before="138" w:line="278" w:lineRule="auto"/>
              <w:ind w:left="233" w:right="168" w:firstLine="95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 xml:space="preserve">Person(s) </w:t>
            </w:r>
            <w:r>
              <w:rPr>
                <w:b/>
                <w:color w:val="231F20"/>
                <w:w w:val="80"/>
                <w:sz w:val="18"/>
              </w:rPr>
              <w:t>Responsible</w:t>
            </w:r>
          </w:p>
        </w:tc>
      </w:tr>
      <w:tr w:rsidR="009E17C9" w:rsidTr="003D5B25">
        <w:trPr>
          <w:trHeight w:val="851"/>
        </w:trPr>
        <w:tc>
          <w:tcPr>
            <w:tcW w:w="5480" w:type="dxa"/>
          </w:tcPr>
          <w:p w:rsidR="009E17C9" w:rsidRDefault="009E17C9" w:rsidP="009E17C9">
            <w:pPr>
              <w:pStyle w:val="TableParagraph"/>
              <w:numPr>
                <w:ilvl w:val="0"/>
                <w:numId w:val="4"/>
              </w:numPr>
              <w:tabs>
                <w:tab w:val="left" w:pos="333"/>
              </w:tabs>
              <w:spacing w:before="85" w:line="278" w:lineRule="auto"/>
              <w:ind w:right="138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Partners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should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refer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values,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mission,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purpose. The mission can be a sounding point to match leadership talent</w:t>
            </w:r>
            <w:r>
              <w:rPr>
                <w:color w:val="231F20"/>
                <w:spacing w:val="-2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a school to the appropriate partnership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group.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7C9" w:rsidTr="003D5B25">
        <w:trPr>
          <w:trHeight w:val="1091"/>
        </w:trPr>
        <w:tc>
          <w:tcPr>
            <w:tcW w:w="5480" w:type="dxa"/>
          </w:tcPr>
          <w:p w:rsidR="009E17C9" w:rsidRDefault="009E17C9" w:rsidP="009E17C9">
            <w:pPr>
              <w:pStyle w:val="TableParagraph"/>
              <w:numPr>
                <w:ilvl w:val="0"/>
                <w:numId w:val="3"/>
              </w:numPr>
              <w:tabs>
                <w:tab w:val="left" w:pos="333"/>
              </w:tabs>
              <w:spacing w:before="85" w:line="278" w:lineRule="auto"/>
              <w:ind w:right="31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Delineate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which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partnership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take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respon- sibility for speciﬁc arenas for decision making, with clear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expec- tations on what types of reporting will be shared with other partnership groups regarding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progress.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7C9" w:rsidTr="003D5B25">
        <w:trPr>
          <w:trHeight w:val="851"/>
        </w:trPr>
        <w:tc>
          <w:tcPr>
            <w:tcW w:w="5480" w:type="dxa"/>
          </w:tcPr>
          <w:p w:rsidR="009E17C9" w:rsidRDefault="009E17C9" w:rsidP="009E17C9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85" w:line="278" w:lineRule="auto"/>
              <w:ind w:right="441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Communicate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larger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educators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 ongoing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basis.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Create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open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communication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agenda setting in each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arena.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7C9" w:rsidTr="003D5B25">
        <w:trPr>
          <w:trHeight w:val="611"/>
        </w:trPr>
        <w:tc>
          <w:tcPr>
            <w:tcW w:w="5480" w:type="dxa"/>
          </w:tcPr>
          <w:p w:rsidR="009E17C9" w:rsidRDefault="009E17C9" w:rsidP="009E17C9">
            <w:pPr>
              <w:pStyle w:val="TableParagraph"/>
              <w:numPr>
                <w:ilvl w:val="0"/>
                <w:numId w:val="1"/>
              </w:numPr>
              <w:tabs>
                <w:tab w:val="left" w:pos="333"/>
              </w:tabs>
              <w:spacing w:before="85" w:line="278" w:lineRule="auto"/>
              <w:ind w:right="2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Seek out or stimulate opportunities to make a</w:t>
            </w:r>
            <w:r>
              <w:rPr>
                <w:color w:val="231F20"/>
                <w:spacing w:val="-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difference—that is,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innovate,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design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new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forms,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create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social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change.</w:t>
            </w: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7C9" w:rsidTr="009E17C9">
        <w:trPr>
          <w:trHeight w:val="61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Pr="009E17C9" w:rsidRDefault="009E17C9" w:rsidP="009E17C9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221"/>
              <w:rPr>
                <w:color w:val="231F20"/>
                <w:sz w:val="18"/>
              </w:rPr>
            </w:pPr>
          </w:p>
          <w:p w:rsidR="009E17C9" w:rsidRPr="009E17C9" w:rsidRDefault="009E17C9" w:rsidP="009E17C9">
            <w:pPr>
              <w:pStyle w:val="TableParagraph"/>
              <w:tabs>
                <w:tab w:val="left" w:pos="333"/>
              </w:tabs>
              <w:spacing w:before="85" w:line="278" w:lineRule="auto"/>
              <w:ind w:left="119" w:right="221"/>
              <w:rPr>
                <w:color w:val="231F20"/>
                <w:sz w:val="18"/>
              </w:rPr>
            </w:pPr>
            <w:r w:rsidRPr="009E17C9">
              <w:rPr>
                <w:color w:val="231F20"/>
                <w:sz w:val="18"/>
              </w:rPr>
              <w:t>Action Steps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Pr="009E17C9" w:rsidRDefault="009E17C9" w:rsidP="009E17C9">
            <w:pPr>
              <w:pStyle w:val="TableParagraph"/>
              <w:rPr>
                <w:rFonts w:ascii="Times New Roman"/>
                <w:sz w:val="20"/>
              </w:rPr>
            </w:pPr>
            <w:r w:rsidRPr="009E17C9">
              <w:rPr>
                <w:rFonts w:ascii="Times New Roman"/>
                <w:sz w:val="20"/>
              </w:rPr>
              <w:t>Evidence and Artifacts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Pr="009E17C9" w:rsidRDefault="009E17C9" w:rsidP="009E17C9">
            <w:pPr>
              <w:pStyle w:val="TableParagraph"/>
              <w:rPr>
                <w:rFonts w:ascii="Times New Roman"/>
                <w:sz w:val="20"/>
              </w:rPr>
            </w:pPr>
            <w:r w:rsidRPr="009E17C9">
              <w:rPr>
                <w:rFonts w:ascii="Times New Roman"/>
                <w:sz w:val="20"/>
              </w:rPr>
              <w:t>Person(s) Responsible</w:t>
            </w:r>
          </w:p>
        </w:tc>
      </w:tr>
      <w:tr w:rsidR="009E17C9" w:rsidTr="009E17C9">
        <w:trPr>
          <w:trHeight w:val="61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Pr="009E17C9" w:rsidRDefault="009E17C9" w:rsidP="009E17C9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before="85" w:line="278" w:lineRule="auto"/>
              <w:ind w:right="153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Formally create and forge meaningful networking with families and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community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members.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Engage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students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sharing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ongoing work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projects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via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media.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parent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webinar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series is an example of how partnership groups can share their vision, practical accomplishments, and local ﬁeld study opportunities for learners.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7C9" w:rsidTr="009E17C9">
        <w:trPr>
          <w:trHeight w:val="611"/>
        </w:trPr>
        <w:tc>
          <w:tcPr>
            <w:tcW w:w="5480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Pr="009E17C9" w:rsidRDefault="009E17C9" w:rsidP="009E17C9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85" w:line="278" w:lineRule="auto"/>
              <w:ind w:right="169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Create retreat and in-depth learning experiences to bond a group and to work through any “glitches” in communication. The key is the relationship between the partnership members and the groupings of members working on speciﬁc topics associated with the</w:t>
            </w:r>
            <w:r w:rsidRPr="009E17C9"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school.</w:t>
            </w:r>
            <w:r w:rsidRPr="009E17C9">
              <w:rPr>
                <w:color w:val="231F20"/>
                <w:sz w:val="18"/>
              </w:rPr>
              <w:t xml:space="preserve"> For example, in a partnership school there may be ﬁve members in the facilities and safety group and ﬁve in the program group. To support communication and ﬂow of information, the partnership may host a retreat for each group to learn about their respective topics as well as invest time in learning how to effec- tively communicate with one another.</w:t>
            </w: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  <w:tcBorders>
              <w:top w:val="single" w:sz="2" w:space="0" w:color="010202"/>
              <w:left w:val="single" w:sz="2" w:space="0" w:color="010202"/>
              <w:bottom w:val="single" w:sz="2" w:space="0" w:color="010202"/>
              <w:right w:val="single" w:sz="2" w:space="0" w:color="010202"/>
            </w:tcBorders>
          </w:tcPr>
          <w:p w:rsidR="009E17C9" w:rsidRDefault="009E17C9" w:rsidP="003D5B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E17C9" w:rsidRPr="009E17C9" w:rsidRDefault="009E17C9" w:rsidP="009E17C9">
      <w:pPr>
        <w:rPr>
          <w:b/>
        </w:rPr>
      </w:pPr>
      <w:bookmarkStart w:id="0" w:name="_GoBack"/>
      <w:bookmarkEnd w:id="0"/>
    </w:p>
    <w:sectPr w:rsidR="009E17C9" w:rsidRPr="009E17C9" w:rsidSect="00DD3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 Dingbats">
    <w:panose1 w:val="05020102010704020609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093E"/>
    <w:multiLevelType w:val="hybridMultilevel"/>
    <w:tmpl w:val="86841DCC"/>
    <w:lvl w:ilvl="0" w:tplc="76C83CD8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AAF4C72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0D22214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0764D91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A0C0935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7FB0DFCA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F932BC3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1E00607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1FE4EEB2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1" w15:restartNumberingAfterBreak="0">
    <w:nsid w:val="2C8B132D"/>
    <w:multiLevelType w:val="hybridMultilevel"/>
    <w:tmpl w:val="AB706ECE"/>
    <w:lvl w:ilvl="0" w:tplc="5C186824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860053C6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36420BF4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0DCA4DE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62E0BD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F2B8FF2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714CDCD6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908600FE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8FC4C30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2" w15:restartNumberingAfterBreak="0">
    <w:nsid w:val="3D6175BA"/>
    <w:multiLevelType w:val="hybridMultilevel"/>
    <w:tmpl w:val="4864A9BC"/>
    <w:lvl w:ilvl="0" w:tplc="2A66D8BA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F8AEB7D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A2E6CF4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3AA8A6B6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894FB1E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66486792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B478EE14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290295F8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BA40B3D0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3" w15:restartNumberingAfterBreak="0">
    <w:nsid w:val="45E0626B"/>
    <w:multiLevelType w:val="hybridMultilevel"/>
    <w:tmpl w:val="DA0C912C"/>
    <w:lvl w:ilvl="0" w:tplc="BC5812A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66EDD22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EFD69FC2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538C88B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2600F5C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AF340D58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50204A2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27836B6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53485074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4" w15:restartNumberingAfterBreak="0">
    <w:nsid w:val="569F6999"/>
    <w:multiLevelType w:val="hybridMultilevel"/>
    <w:tmpl w:val="A5620EE4"/>
    <w:lvl w:ilvl="0" w:tplc="99EED2EE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98243534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796A3806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8D0EB848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26E0B1A2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4992D60C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2452BD40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BA422BE2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0CE1986">
      <w:numFmt w:val="bullet"/>
      <w:lvlText w:val="•"/>
      <w:lvlJc w:val="left"/>
      <w:pPr>
        <w:ind w:left="4404" w:hanging="213"/>
      </w:pPr>
      <w:rPr>
        <w:rFonts w:hint="default"/>
      </w:rPr>
    </w:lvl>
  </w:abstractNum>
  <w:abstractNum w:abstractNumId="5" w15:restartNumberingAfterBreak="0">
    <w:nsid w:val="57D67808"/>
    <w:multiLevelType w:val="hybridMultilevel"/>
    <w:tmpl w:val="1666ACCC"/>
    <w:lvl w:ilvl="0" w:tplc="B9603622">
      <w:numFmt w:val="bullet"/>
      <w:lvlText w:val="❍"/>
      <w:lvlJc w:val="left"/>
      <w:pPr>
        <w:ind w:left="119" w:hanging="213"/>
      </w:pPr>
      <w:rPr>
        <w:rFonts w:ascii="Zapf Dingbats" w:eastAsia="Zapf Dingbats" w:hAnsi="Zapf Dingbats" w:cs="Zapf Dingbats" w:hint="default"/>
        <w:color w:val="231F20"/>
        <w:w w:val="100"/>
        <w:sz w:val="18"/>
        <w:szCs w:val="18"/>
      </w:rPr>
    </w:lvl>
    <w:lvl w:ilvl="1" w:tplc="1DC8F3DE">
      <w:numFmt w:val="bullet"/>
      <w:lvlText w:val="•"/>
      <w:lvlJc w:val="left"/>
      <w:pPr>
        <w:ind w:left="655" w:hanging="213"/>
      </w:pPr>
      <w:rPr>
        <w:rFonts w:hint="default"/>
      </w:rPr>
    </w:lvl>
    <w:lvl w:ilvl="2" w:tplc="1DE66ECE">
      <w:numFmt w:val="bullet"/>
      <w:lvlText w:val="•"/>
      <w:lvlJc w:val="left"/>
      <w:pPr>
        <w:ind w:left="1191" w:hanging="213"/>
      </w:pPr>
      <w:rPr>
        <w:rFonts w:hint="default"/>
      </w:rPr>
    </w:lvl>
    <w:lvl w:ilvl="3" w:tplc="4CF4A7BC">
      <w:numFmt w:val="bullet"/>
      <w:lvlText w:val="•"/>
      <w:lvlJc w:val="left"/>
      <w:pPr>
        <w:ind w:left="1726" w:hanging="213"/>
      </w:pPr>
      <w:rPr>
        <w:rFonts w:hint="default"/>
      </w:rPr>
    </w:lvl>
    <w:lvl w:ilvl="4" w:tplc="826A9CB4">
      <w:numFmt w:val="bullet"/>
      <w:lvlText w:val="•"/>
      <w:lvlJc w:val="left"/>
      <w:pPr>
        <w:ind w:left="2262" w:hanging="213"/>
      </w:pPr>
      <w:rPr>
        <w:rFonts w:hint="default"/>
      </w:rPr>
    </w:lvl>
    <w:lvl w:ilvl="5" w:tplc="1DB64156">
      <w:numFmt w:val="bullet"/>
      <w:lvlText w:val="•"/>
      <w:lvlJc w:val="left"/>
      <w:pPr>
        <w:ind w:left="2797" w:hanging="213"/>
      </w:pPr>
      <w:rPr>
        <w:rFonts w:hint="default"/>
      </w:rPr>
    </w:lvl>
    <w:lvl w:ilvl="6" w:tplc="D1204CCE">
      <w:numFmt w:val="bullet"/>
      <w:lvlText w:val="•"/>
      <w:lvlJc w:val="left"/>
      <w:pPr>
        <w:ind w:left="3333" w:hanging="213"/>
      </w:pPr>
      <w:rPr>
        <w:rFonts w:hint="default"/>
      </w:rPr>
    </w:lvl>
    <w:lvl w:ilvl="7" w:tplc="09E4D9CC">
      <w:numFmt w:val="bullet"/>
      <w:lvlText w:val="•"/>
      <w:lvlJc w:val="left"/>
      <w:pPr>
        <w:ind w:left="3868" w:hanging="213"/>
      </w:pPr>
      <w:rPr>
        <w:rFonts w:hint="default"/>
      </w:rPr>
    </w:lvl>
    <w:lvl w:ilvl="8" w:tplc="07B880BE">
      <w:numFmt w:val="bullet"/>
      <w:lvlText w:val="•"/>
      <w:lvlJc w:val="left"/>
      <w:pPr>
        <w:ind w:left="4404" w:hanging="21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C9"/>
    <w:rsid w:val="009E17C9"/>
    <w:rsid w:val="00D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76FD7"/>
  <w15:chartTrackingRefBased/>
  <w15:docId w15:val="{BC7880ED-2D58-3344-8476-21A816A0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E17C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Jacobs</dc:creator>
  <cp:keywords/>
  <dc:description/>
  <cp:lastModifiedBy>Heidi Jacobs</cp:lastModifiedBy>
  <cp:revision>1</cp:revision>
  <dcterms:created xsi:type="dcterms:W3CDTF">2018-04-15T20:06:00Z</dcterms:created>
  <dcterms:modified xsi:type="dcterms:W3CDTF">2018-04-15T20:09:00Z</dcterms:modified>
</cp:coreProperties>
</file>